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9FD8B" w14:textId="77777777" w:rsidR="000D7520" w:rsidRDefault="000D752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488EA69A" w14:textId="0EA7BDD1" w:rsidR="00A305A6" w:rsidRDefault="00A305A6" w:rsidP="00A305A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TSG-RAN WG2 Meeting #106</w:t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>R2-19</w:t>
      </w:r>
      <w:r w:rsidR="00D475E1">
        <w:rPr>
          <w:bCs/>
          <w:noProof w:val="0"/>
          <w:sz w:val="24"/>
          <w:szCs w:val="24"/>
        </w:rPr>
        <w:t>06749</w:t>
      </w:r>
    </w:p>
    <w:p w14:paraId="239A3A37" w14:textId="5429B96A" w:rsidR="00A305A6" w:rsidRPr="00813C1F" w:rsidRDefault="00A305A6" w:rsidP="00A305A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val="it-IT" w:eastAsia="zh-CN"/>
        </w:rPr>
      </w:pPr>
      <w:r w:rsidRPr="00813C1F">
        <w:rPr>
          <w:rFonts w:eastAsia="SimSun"/>
          <w:bCs/>
          <w:sz w:val="24"/>
          <w:szCs w:val="24"/>
          <w:lang w:val="it-IT" w:eastAsia="zh-CN"/>
        </w:rPr>
        <w:t>Reno, USA, 13 – 17 May 2019</w:t>
      </w:r>
      <w:r w:rsidRPr="00813C1F">
        <w:rPr>
          <w:rFonts w:eastAsia="SimSun"/>
          <w:noProof w:val="0"/>
          <w:sz w:val="24"/>
          <w:szCs w:val="24"/>
          <w:lang w:val="it-IT" w:eastAsia="zh-CN"/>
        </w:rPr>
        <w:tab/>
      </w:r>
      <w:r w:rsidRPr="00813C1F">
        <w:rPr>
          <w:rFonts w:eastAsia="SimSun"/>
          <w:i/>
          <w:noProof w:val="0"/>
          <w:sz w:val="24"/>
          <w:szCs w:val="24"/>
          <w:lang w:val="it-IT" w:eastAsia="zh-CN"/>
        </w:rPr>
        <w:t>R2-</w:t>
      </w:r>
      <w:r w:rsidR="00FF4096" w:rsidRPr="00813C1F">
        <w:rPr>
          <w:rFonts w:eastAsia="SimSun"/>
          <w:i/>
          <w:noProof w:val="0"/>
          <w:sz w:val="24"/>
          <w:szCs w:val="24"/>
          <w:lang w:val="it-IT" w:eastAsia="zh-CN"/>
        </w:rPr>
        <w:t>190</w:t>
      </w:r>
      <w:r w:rsidR="00FF4096">
        <w:rPr>
          <w:rFonts w:eastAsia="SimSun"/>
          <w:i/>
          <w:noProof w:val="0"/>
          <w:sz w:val="24"/>
          <w:szCs w:val="24"/>
          <w:lang w:val="it-IT" w:eastAsia="zh-CN"/>
        </w:rPr>
        <w:t>3</w:t>
      </w:r>
      <w:r w:rsidR="00FF4096" w:rsidRPr="00813C1F">
        <w:rPr>
          <w:rFonts w:eastAsia="SimSun"/>
          <w:i/>
          <w:noProof w:val="0"/>
          <w:sz w:val="24"/>
          <w:szCs w:val="24"/>
          <w:lang w:val="it-IT" w:eastAsia="zh-CN"/>
        </w:rPr>
        <w:t>904</w:t>
      </w:r>
    </w:p>
    <w:p w14:paraId="39BE00F6" w14:textId="77777777" w:rsidR="00CD4C7B" w:rsidRPr="00813C1F" w:rsidRDefault="00CD4C7B" w:rsidP="00CD4C7B">
      <w:pPr>
        <w:pStyle w:val="Header"/>
        <w:rPr>
          <w:bCs/>
          <w:noProof w:val="0"/>
          <w:sz w:val="24"/>
          <w:lang w:val="it-IT"/>
        </w:rPr>
      </w:pPr>
    </w:p>
    <w:p w14:paraId="49379CFB" w14:textId="77777777" w:rsidR="00CD4C7B" w:rsidRPr="00813C1F" w:rsidRDefault="00CD4C7B" w:rsidP="00CD4C7B">
      <w:pPr>
        <w:pStyle w:val="Header"/>
        <w:rPr>
          <w:bCs/>
          <w:noProof w:val="0"/>
          <w:sz w:val="24"/>
          <w:lang w:val="it-IT"/>
        </w:rPr>
      </w:pPr>
    </w:p>
    <w:p w14:paraId="758E2B30" w14:textId="42D650CE" w:rsidR="00CD4C7B" w:rsidRPr="00813C1F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it-IT" w:eastAsia="ja-JP"/>
        </w:rPr>
      </w:pPr>
      <w:r w:rsidRPr="00813C1F">
        <w:rPr>
          <w:rFonts w:cs="Arial"/>
          <w:b/>
          <w:bCs/>
          <w:sz w:val="24"/>
          <w:lang w:val="it-IT"/>
        </w:rPr>
        <w:t>Agenda item:</w:t>
      </w:r>
      <w:r w:rsidRPr="00813C1F">
        <w:rPr>
          <w:rFonts w:cs="Arial"/>
          <w:b/>
          <w:bCs/>
          <w:sz w:val="24"/>
          <w:lang w:val="it-IT"/>
        </w:rPr>
        <w:tab/>
      </w:r>
      <w:r w:rsidR="00F22483" w:rsidRPr="00813C1F">
        <w:rPr>
          <w:rFonts w:cs="Arial"/>
          <w:b/>
          <w:bCs/>
          <w:sz w:val="24"/>
          <w:lang w:val="it-IT"/>
        </w:rPr>
        <w:t>11.2.2.2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6F39F67" w14:textId="54533216" w:rsidR="6C90FAB6" w:rsidRPr="00EA791C" w:rsidRDefault="00CD4C7B" w:rsidP="00EA79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22483">
        <w:rPr>
          <w:rFonts w:ascii="Arial" w:hAnsi="Arial" w:cs="Arial"/>
          <w:b/>
          <w:bCs/>
          <w:sz w:val="24"/>
          <w:szCs w:val="24"/>
        </w:rPr>
        <w:t>Title:</w:t>
      </w:r>
      <w:r w:rsidR="00F22483">
        <w:rPr>
          <w:rFonts w:ascii="Arial" w:hAnsi="Arial" w:cs="Arial"/>
          <w:b/>
          <w:bCs/>
          <w:sz w:val="24"/>
          <w:szCs w:val="24"/>
        </w:rPr>
        <w:tab/>
      </w:r>
      <w:r w:rsidR="6C90FAB6" w:rsidRPr="00EA791C">
        <w:rPr>
          <w:rFonts w:ascii="Arial" w:hAnsi="Arial" w:cs="Arial"/>
          <w:b/>
          <w:bCs/>
          <w:sz w:val="24"/>
          <w:szCs w:val="24"/>
        </w:rPr>
        <w:t>Considerations on mobility and measurement gap enhancements in NR-U</w:t>
      </w:r>
      <w:r w:rsidRPr="00F22483">
        <w:rPr>
          <w:rFonts w:ascii="Arial" w:hAnsi="Arial" w:cs="Arial"/>
          <w:b/>
          <w:bCs/>
          <w:sz w:val="24"/>
        </w:rPr>
        <w:tab/>
      </w:r>
    </w:p>
    <w:p w14:paraId="3AC3A0B1" w14:textId="04A8CCA3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763701">
        <w:rPr>
          <w:rFonts w:ascii="Arial" w:hAnsi="Arial" w:cs="Arial"/>
          <w:b/>
          <w:bCs/>
          <w:sz w:val="24"/>
        </w:rPr>
        <w:t>WID/SID:</w:t>
      </w:r>
      <w:r w:rsidRPr="00763701">
        <w:rPr>
          <w:rFonts w:ascii="Arial" w:hAnsi="Arial" w:cs="Arial"/>
          <w:b/>
          <w:bCs/>
          <w:sz w:val="24"/>
        </w:rPr>
        <w:tab/>
      </w:r>
      <w:r w:rsidR="00931C68" w:rsidRPr="00763701">
        <w:rPr>
          <w:rFonts w:ascii="Arial" w:hAnsi="Arial" w:cs="Arial"/>
          <w:b/>
          <w:bCs/>
          <w:sz w:val="24"/>
        </w:rPr>
        <w:t xml:space="preserve">NR-U </w:t>
      </w:r>
      <w:r w:rsidR="00D80795" w:rsidRPr="00763701">
        <w:rPr>
          <w:rFonts w:ascii="Arial" w:hAnsi="Arial" w:cs="Arial"/>
          <w:b/>
          <w:bCs/>
          <w:sz w:val="24"/>
        </w:rPr>
        <w:t>-</w:t>
      </w:r>
      <w:r w:rsidRPr="00763701">
        <w:rPr>
          <w:rFonts w:ascii="Arial" w:hAnsi="Arial" w:cs="Arial"/>
          <w:b/>
          <w:bCs/>
          <w:sz w:val="24"/>
        </w:rPr>
        <w:t xml:space="preserve"> Release</w:t>
      </w:r>
      <w:r w:rsidR="00D80795" w:rsidRPr="00763701">
        <w:rPr>
          <w:rFonts w:ascii="Arial" w:hAnsi="Arial" w:cs="Arial"/>
          <w:b/>
          <w:bCs/>
          <w:sz w:val="24"/>
        </w:rPr>
        <w:t xml:space="preserve"> </w:t>
      </w:r>
      <w:r w:rsidR="00970DB3" w:rsidRPr="00763701">
        <w:rPr>
          <w:rFonts w:ascii="Arial" w:hAnsi="Arial" w:cs="Arial"/>
          <w:b/>
          <w:bCs/>
          <w:sz w:val="24"/>
        </w:rPr>
        <w:t>1</w:t>
      </w:r>
      <w:r w:rsidR="00931C68" w:rsidRPr="00763701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0226B37" w14:textId="6584712A" w:rsidR="00352C2B" w:rsidRDefault="00F31235" w:rsidP="00F31235">
      <w:bookmarkStart w:id="0" w:name="_Hlk536529808"/>
      <w:r>
        <w:t xml:space="preserve">In </w:t>
      </w:r>
      <w:r w:rsidR="00352C2B">
        <w:t xml:space="preserve">this contribution we </w:t>
      </w:r>
      <w:r w:rsidR="00EE3109">
        <w:t xml:space="preserve">discuss </w:t>
      </w:r>
      <w:r w:rsidR="00352C2B">
        <w:t>one of the proposed enhancements for increasing robustness in connected mode mobility.</w:t>
      </w:r>
      <w:r w:rsidR="00EE3109">
        <w:t xml:space="preserve"> We also address the need for measurement gap modifications in </w:t>
      </w:r>
      <w:r w:rsidR="00ED60E5">
        <w:t xml:space="preserve">asynchronous deployment </w:t>
      </w:r>
      <w:r w:rsidR="00EE3109">
        <w:t>scenarios.</w:t>
      </w:r>
    </w:p>
    <w:p w14:paraId="127ACA6D" w14:textId="19DB240F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85703">
        <w:t>Discussion</w:t>
      </w:r>
    </w:p>
    <w:p w14:paraId="5A4DF910" w14:textId="7224153F" w:rsidR="002926E3" w:rsidRDefault="00865BD7" w:rsidP="002926E3">
      <w:pPr>
        <w:pStyle w:val="Heading2"/>
      </w:pPr>
      <w:r>
        <w:t>2.1</w:t>
      </w:r>
      <w:r>
        <w:tab/>
      </w:r>
      <w:r w:rsidR="002926E3">
        <w:t>Robustness for Mobility Procedures</w:t>
      </w:r>
    </w:p>
    <w:p w14:paraId="211F1DC3" w14:textId="2032F2EE" w:rsidR="005E77EF" w:rsidRDefault="00352C2B" w:rsidP="00DB1369">
      <w:r>
        <w:t>The NR-U WID [</w:t>
      </w:r>
      <w:r w:rsidR="00EE3109">
        <w:t>1</w:t>
      </w:r>
      <w:r>
        <w:t xml:space="preserve">] </w:t>
      </w:r>
      <w:r w:rsidR="00ED60E5">
        <w:t xml:space="preserve">states that </w:t>
      </w:r>
      <w:r>
        <w:t xml:space="preserve">the </w:t>
      </w:r>
      <w:r w:rsidR="00ED60E5">
        <w:t>m</w:t>
      </w:r>
      <w:r>
        <w:t xml:space="preserve">obility procedures to be designed </w:t>
      </w:r>
      <w:r w:rsidR="00DB1369">
        <w:t xml:space="preserve">shall support standalone NR-U deployments. </w:t>
      </w:r>
      <w:proofErr w:type="gramStart"/>
      <w:r w:rsidR="00DB1369">
        <w:t>In order to</w:t>
      </w:r>
      <w:proofErr w:type="gramEnd"/>
      <w:r w:rsidR="00DB1369">
        <w:t xml:space="preserve"> mitigate the impact of LBT on the CP</w:t>
      </w:r>
      <w:r w:rsidR="00ED60E5">
        <w:t xml:space="preserve">, </w:t>
      </w:r>
      <w:r w:rsidR="00DB1369">
        <w:t xml:space="preserve">it has been discussed to introduce conditional HO (CHO), which is presently standardized for LTE and discussed for NR. </w:t>
      </w:r>
    </w:p>
    <w:p w14:paraId="0CA6DDF8" w14:textId="5D9E6741" w:rsidR="005E77EF" w:rsidRDefault="005E77EF" w:rsidP="005E77EF">
      <w:r>
        <w:t xml:space="preserve">Our view is that the applicability </w:t>
      </w:r>
      <w:r w:rsidR="00ED60E5">
        <w:t xml:space="preserve">to NR-U </w:t>
      </w:r>
      <w:r>
        <w:t xml:space="preserve">and possible NR-U specific enhancements of CHO </w:t>
      </w:r>
      <w:r w:rsidR="00DB1369">
        <w:t>should</w:t>
      </w:r>
      <w:r>
        <w:t xml:space="preserve"> only be investigated after the concepts and the procedures for CHO have been agreed in NR mobility enhancements work item</w:t>
      </w:r>
      <w:r w:rsidR="00ED60E5">
        <w:t xml:space="preserve">, </w:t>
      </w:r>
      <w:r w:rsidR="00F22483">
        <w:t>to avoid parallel work</w:t>
      </w:r>
      <w:r>
        <w:t>.</w:t>
      </w:r>
    </w:p>
    <w:p w14:paraId="789E36C0" w14:textId="4CAF0914" w:rsidR="005E77EF" w:rsidRDefault="005E77EF" w:rsidP="005E77EF">
      <w:r w:rsidRPr="00F22483">
        <w:rPr>
          <w:b/>
          <w:bCs/>
        </w:rPr>
        <w:t>Proposal 1:</w:t>
      </w:r>
      <w:r>
        <w:t xml:space="preserve"> Address condition</w:t>
      </w:r>
      <w:r w:rsidR="00ED60E5">
        <w:t>al</w:t>
      </w:r>
      <w:r>
        <w:t xml:space="preserve"> handover</w:t>
      </w:r>
      <w:r w:rsidR="00ED60E5">
        <w:t xml:space="preserve"> (CHO)</w:t>
      </w:r>
      <w:r>
        <w:t xml:space="preserve"> in NR-U towards the end of the WI, to allow </w:t>
      </w:r>
      <w:r w:rsidR="00CC6E7E">
        <w:t>to</w:t>
      </w:r>
      <w:r>
        <w:t xml:space="preserve"> </w:t>
      </w:r>
      <w:r w:rsidR="00ED60E5">
        <w:t>reus</w:t>
      </w:r>
      <w:r w:rsidR="00CC6E7E">
        <w:t>e</w:t>
      </w:r>
      <w:r>
        <w:t xml:space="preserve"> the decisions and agreements concerning CHO made in NR mobility enhancements work item.</w:t>
      </w:r>
    </w:p>
    <w:p w14:paraId="02A71BC7" w14:textId="2BB6542D" w:rsidR="002926E3" w:rsidRDefault="00865BD7" w:rsidP="002926E3">
      <w:pPr>
        <w:pStyle w:val="Heading2"/>
      </w:pPr>
      <w:bookmarkStart w:id="1" w:name="_Hlk4588504"/>
      <w:r>
        <w:t>2.2</w:t>
      </w:r>
      <w:r>
        <w:tab/>
      </w:r>
      <w:r w:rsidR="002926E3">
        <w:t>Measurement Gaps</w:t>
      </w:r>
    </w:p>
    <w:p w14:paraId="59C5976C" w14:textId="71FC1722" w:rsidR="00176289" w:rsidRDefault="00F90D1E" w:rsidP="002B0FF2">
      <w:bookmarkStart w:id="2" w:name="_Hlk4588383"/>
      <w:bookmarkEnd w:id="1"/>
      <w:proofErr w:type="gramStart"/>
      <w:r>
        <w:t>I</w:t>
      </w:r>
      <w:r w:rsidR="00176289">
        <w:t xml:space="preserve">n </w:t>
      </w:r>
      <w:r w:rsidR="00B46D02">
        <w:t xml:space="preserve">order </w:t>
      </w:r>
      <w:r w:rsidR="00B456B0">
        <w:t>for</w:t>
      </w:r>
      <w:proofErr w:type="gramEnd"/>
      <w:r w:rsidR="00B456B0">
        <w:t xml:space="preserve"> a </w:t>
      </w:r>
      <w:r w:rsidR="00D74A3C">
        <w:t xml:space="preserve">UE to perform </w:t>
      </w:r>
      <w:r w:rsidR="00522979">
        <w:t xml:space="preserve">inter-frequency neighbour cell </w:t>
      </w:r>
      <w:r w:rsidR="00D74A3C">
        <w:t>RRM measurements</w:t>
      </w:r>
      <w:r>
        <w:t>,</w:t>
      </w:r>
      <w:r w:rsidR="00D74A3C">
        <w:t xml:space="preserve"> </w:t>
      </w:r>
      <w:r w:rsidR="00B46D02">
        <w:t xml:space="preserve">measurement </w:t>
      </w:r>
      <w:r w:rsidR="00176289">
        <w:t xml:space="preserve">gaps </w:t>
      </w:r>
      <w:r w:rsidR="004E42D0">
        <w:t xml:space="preserve">are </w:t>
      </w:r>
      <w:r w:rsidR="00ED60E5">
        <w:t xml:space="preserve">sometimes </w:t>
      </w:r>
      <w:r w:rsidR="004E42D0">
        <w:t>needed. During measurement gaps</w:t>
      </w:r>
      <w:r w:rsidR="00ED60E5">
        <w:t xml:space="preserve">, </w:t>
      </w:r>
      <w:r w:rsidR="004E42D0">
        <w:t xml:space="preserve">a UE </w:t>
      </w:r>
      <w:r w:rsidR="00B46D02">
        <w:t>can</w:t>
      </w:r>
      <w:r w:rsidR="004E42D0">
        <w:t xml:space="preserve"> typically neither </w:t>
      </w:r>
      <w:r w:rsidR="00176289">
        <w:t xml:space="preserve">receive from </w:t>
      </w:r>
      <w:r w:rsidR="004E42D0">
        <w:t>n</w:t>
      </w:r>
      <w:r w:rsidR="00176289">
        <w:t>or transmit to</w:t>
      </w:r>
      <w:r w:rsidR="00ED60E5">
        <w:t>/on</w:t>
      </w:r>
      <w:r w:rsidR="00176289">
        <w:t xml:space="preserve"> its </w:t>
      </w:r>
      <w:r w:rsidR="004E42D0">
        <w:t xml:space="preserve">serving </w:t>
      </w:r>
      <w:r w:rsidR="00176289">
        <w:t>cell</w:t>
      </w:r>
      <w:r w:rsidR="004E42D0">
        <w:t>(s)</w:t>
      </w:r>
      <w:r w:rsidR="00176289">
        <w:t xml:space="preserve">. </w:t>
      </w:r>
    </w:p>
    <w:p w14:paraId="18583D2E" w14:textId="664A739A" w:rsidR="00176289" w:rsidRDefault="00176289" w:rsidP="002B0FF2">
      <w:r>
        <w:t>The</w:t>
      </w:r>
      <w:r w:rsidR="00140F7E">
        <w:t xml:space="preserve"> possible</w:t>
      </w:r>
      <w:r>
        <w:t xml:space="preserve"> gap patterns </w:t>
      </w:r>
      <w:r w:rsidR="00CA2C33">
        <w:t>in NR (</w:t>
      </w:r>
      <w:r>
        <w:t>a</w:t>
      </w:r>
      <w:r w:rsidR="00CA2C33">
        <w:t xml:space="preserve">s </w:t>
      </w:r>
      <w:r>
        <w:t xml:space="preserve">defined in </w:t>
      </w:r>
      <w:r w:rsidR="00CA2C33">
        <w:t>38.133</w:t>
      </w:r>
      <w:r w:rsidR="00ED60E5">
        <w:t xml:space="preserve">, </w:t>
      </w:r>
      <w:r>
        <w:t>table 9.2.2-1</w:t>
      </w:r>
      <w:r w:rsidR="00CA2C33">
        <w:t xml:space="preserve">) </w:t>
      </w:r>
      <w:r>
        <w:t>hav</w:t>
      </w:r>
      <w:r w:rsidR="000D3F4C">
        <w:t>e</w:t>
      </w:r>
      <w:r w:rsidR="00CA2C33">
        <w:t xml:space="preserve"> </w:t>
      </w:r>
      <w:r>
        <w:t xml:space="preserve">a maximum length of 6 </w:t>
      </w:r>
      <w:proofErr w:type="spellStart"/>
      <w:r>
        <w:t>msec</w:t>
      </w:r>
      <w:proofErr w:type="spellEnd"/>
      <w:r>
        <w:t xml:space="preserve">, and </w:t>
      </w:r>
      <w:r w:rsidR="00ED60E5">
        <w:t xml:space="preserve">a </w:t>
      </w:r>
      <w:r>
        <w:t xml:space="preserve">minimum repetition period of 20 </w:t>
      </w:r>
      <w:proofErr w:type="spellStart"/>
      <w:r>
        <w:t>msec</w:t>
      </w:r>
      <w:proofErr w:type="spellEnd"/>
      <w:r w:rsidR="00ED60E5">
        <w:t xml:space="preserve">, </w:t>
      </w:r>
      <w:r w:rsidR="000D3F4C">
        <w:t xml:space="preserve">and </w:t>
      </w:r>
      <w:r w:rsidR="00CA2C33">
        <w:t xml:space="preserve">are designed to </w:t>
      </w:r>
      <w:r w:rsidR="00F90D1E">
        <w:t>allow capturing the SSB</w:t>
      </w:r>
      <w:r w:rsidR="00CA2C33">
        <w:t>(s)</w:t>
      </w:r>
      <w:r w:rsidR="00F90D1E">
        <w:t xml:space="preserve"> of neighbour cell</w:t>
      </w:r>
      <w:r w:rsidR="004E42D0">
        <w:t>s</w:t>
      </w:r>
      <w:r w:rsidR="00F90D1E">
        <w:t xml:space="preserve">. </w:t>
      </w:r>
    </w:p>
    <w:p w14:paraId="31045AF4" w14:textId="79131B73" w:rsidR="005E250A" w:rsidRDefault="005E77EF" w:rsidP="005E77EF">
      <w:r>
        <w:t xml:space="preserve">NR-U </w:t>
      </w:r>
      <w:r w:rsidR="004E42D0">
        <w:t>should support</w:t>
      </w:r>
      <w:r w:rsidR="004E42D0" w:rsidRPr="004E42D0">
        <w:t xml:space="preserve"> </w:t>
      </w:r>
      <w:r w:rsidR="004E42D0">
        <w:t xml:space="preserve">asynchronous deployments. Baseline Rel-15 NR can </w:t>
      </w:r>
      <w:r w:rsidR="001E236F">
        <w:t xml:space="preserve">also </w:t>
      </w:r>
      <w:r w:rsidR="004E42D0">
        <w:t xml:space="preserve">support asynchronous deployments by </w:t>
      </w:r>
      <w:r w:rsidR="00ED60E5">
        <w:t xml:space="preserve">transmitting </w:t>
      </w:r>
      <w:r w:rsidR="00865BD7">
        <w:t>the SSBs at a periodicity of 5ms. In this way</w:t>
      </w:r>
      <w:r w:rsidR="00ED60E5">
        <w:t xml:space="preserve">, </w:t>
      </w:r>
      <w:r w:rsidR="00865BD7">
        <w:t xml:space="preserve">a </w:t>
      </w:r>
      <w:r w:rsidR="004E42D0">
        <w:t xml:space="preserve">measurement gap of 6 </w:t>
      </w:r>
      <w:proofErr w:type="spellStart"/>
      <w:r w:rsidR="004E42D0">
        <w:t>ms</w:t>
      </w:r>
      <w:proofErr w:type="spellEnd"/>
      <w:r w:rsidR="004E42D0">
        <w:t xml:space="preserve"> will always be able to cover the SSBs transmitted by asynchronous neighbour cells.</w:t>
      </w:r>
      <w:r w:rsidR="00865BD7">
        <w:t xml:space="preserve"> </w:t>
      </w:r>
      <w:r w:rsidR="00103B28">
        <w:t xml:space="preserve">This option is </w:t>
      </w:r>
      <w:r w:rsidR="00ED60E5">
        <w:t xml:space="preserve">in principle possible </w:t>
      </w:r>
      <w:r w:rsidR="00103B28">
        <w:t>also in NR-U, h</w:t>
      </w:r>
      <w:r w:rsidR="001E236F">
        <w:t>owever, t</w:t>
      </w:r>
      <w:r w:rsidR="00865BD7">
        <w:t>ransmitting the SSB</w:t>
      </w:r>
      <w:r w:rsidR="001E236F">
        <w:t>s</w:t>
      </w:r>
      <w:r w:rsidR="00865BD7">
        <w:t xml:space="preserve"> with a periodicity of 5 </w:t>
      </w:r>
      <w:proofErr w:type="spellStart"/>
      <w:r w:rsidR="00865BD7">
        <w:t>ms</w:t>
      </w:r>
      <w:proofErr w:type="spellEnd"/>
      <w:r w:rsidR="00865BD7">
        <w:t xml:space="preserve"> might be challenging in NR-U due to the restrictions imposed by LBT to the frequency of transmission of discovery reference signals, including SSBs</w:t>
      </w:r>
      <w:r w:rsidR="004E42D0">
        <w:t>.</w:t>
      </w:r>
      <w:r w:rsidR="00865BD7">
        <w:t xml:space="preserve"> </w:t>
      </w:r>
    </w:p>
    <w:p w14:paraId="6C437C49" w14:textId="7D1F6954" w:rsidR="00ED60E5" w:rsidRPr="00ED60E5" w:rsidRDefault="00ED60E5" w:rsidP="00103B28">
      <w:r w:rsidRPr="00ED60E5">
        <w:rPr>
          <w:b/>
        </w:rPr>
        <w:t>Observation 1</w:t>
      </w:r>
      <w:r>
        <w:rPr>
          <w:b/>
        </w:rPr>
        <w:t xml:space="preserve">: </w:t>
      </w:r>
      <w:r w:rsidRPr="00ED60E5">
        <w:t>In</w:t>
      </w:r>
      <w:r w:rsidRPr="00DA3F2B">
        <w:t xml:space="preserve"> NR-U,</w:t>
      </w:r>
      <w:r>
        <w:t xml:space="preserve"> </w:t>
      </w:r>
      <w:r w:rsidRPr="00DA3F2B">
        <w:t>due to</w:t>
      </w:r>
      <w:r>
        <w:rPr>
          <w:b/>
        </w:rPr>
        <w:t xml:space="preserve"> </w:t>
      </w:r>
      <w:r>
        <w:t xml:space="preserve">the restrictions imposed by LBT to the frequency of transmission of DRS, it is not possible to support inter-frequency neighbour cell RRM measurements with </w:t>
      </w:r>
      <w:r w:rsidR="00DA3F2B">
        <w:t xml:space="preserve">Rel-15 </w:t>
      </w:r>
      <w:r>
        <w:t>measurement gap configuration</w:t>
      </w:r>
      <w:r w:rsidR="00DA3F2B">
        <w:t xml:space="preserve">s </w:t>
      </w:r>
      <w:r>
        <w:t>and by transmitting the SSBs at a periodicity of 5ms</w:t>
      </w:r>
      <w:r w:rsidR="00DA3F2B">
        <w:t>.</w:t>
      </w:r>
    </w:p>
    <w:p w14:paraId="696182CC" w14:textId="0D84B925" w:rsidR="005E250A" w:rsidRDefault="00DA3F2B" w:rsidP="00103B28">
      <w:r>
        <w:t>I</w:t>
      </w:r>
      <w:r w:rsidR="005E250A">
        <w:t>n asynchronous deployments</w:t>
      </w:r>
      <w:r w:rsidR="00103B28">
        <w:t>,</w:t>
      </w:r>
      <w:r w:rsidR="005E250A">
        <w:t xml:space="preserve"> </w:t>
      </w:r>
      <w:r w:rsidR="00103B28">
        <w:t xml:space="preserve">the </w:t>
      </w:r>
      <w:proofErr w:type="spellStart"/>
      <w:r w:rsidR="00103B28">
        <w:t>gNB</w:t>
      </w:r>
      <w:proofErr w:type="spellEnd"/>
      <w:r w:rsidR="00103B28">
        <w:t xml:space="preserve"> may not be aware of the timing of its neighbours’ DRS transmissions. </w:t>
      </w:r>
      <w:r>
        <w:t xml:space="preserve">In case the periodicity of the DRS/SSB transmission is longer than 5 </w:t>
      </w:r>
      <w:proofErr w:type="spellStart"/>
      <w:r>
        <w:t>ms</w:t>
      </w:r>
      <w:proofErr w:type="spellEnd"/>
      <w:r>
        <w:t xml:space="preserve"> (as it is the assumption for NR-U), there are </w:t>
      </w:r>
      <w:r w:rsidR="005E250A">
        <w:t>several ways</w:t>
      </w:r>
      <w:r>
        <w:t xml:space="preserve"> measurement gaps can be configured to eventually cover the transmission of neighbour’s SSBs</w:t>
      </w:r>
      <w:r w:rsidR="005E250A">
        <w:t>:</w:t>
      </w:r>
    </w:p>
    <w:p w14:paraId="5CE3C844" w14:textId="324639A7" w:rsidR="005E250A" w:rsidRDefault="005E250A" w:rsidP="005E250A">
      <w:r>
        <w:t xml:space="preserve">a1) configure a UE with a long measurement gap </w:t>
      </w:r>
      <w:r w:rsidR="00DA3F2B">
        <w:t xml:space="preserve">duration and periodicity </w:t>
      </w:r>
      <w:r>
        <w:t xml:space="preserve">that is certain to capture neighbours’ SSBs, e.g. by </w:t>
      </w:r>
      <w:r w:rsidR="00DA3F2B">
        <w:t xml:space="preserve">extending the </w:t>
      </w:r>
      <w:r>
        <w:t>maximum</w:t>
      </w:r>
      <w:r w:rsidR="00DA3F2B">
        <w:t xml:space="preserve"> measurement gap</w:t>
      </w:r>
      <w:r w:rsidR="00FB666F">
        <w:t xml:space="preserve"> </w:t>
      </w:r>
      <w:r w:rsidR="00DA3F2B">
        <w:t>duration as compared to NR</w:t>
      </w:r>
      <w:r>
        <w:t>.</w:t>
      </w:r>
    </w:p>
    <w:p w14:paraId="0AE0DDF5" w14:textId="32711AE2" w:rsidR="002E0005" w:rsidRDefault="005E250A" w:rsidP="005E250A">
      <w:r>
        <w:lastRenderedPageBreak/>
        <w:t xml:space="preserve">a2) configure a UE with a sliding </w:t>
      </w:r>
      <w:r w:rsidR="00DA3F2B">
        <w:t xml:space="preserve">measurement </w:t>
      </w:r>
      <w:proofErr w:type="gramStart"/>
      <w:r w:rsidR="00DA3F2B">
        <w:t xml:space="preserve">gap </w:t>
      </w:r>
      <w:r>
        <w:t>,</w:t>
      </w:r>
      <w:proofErr w:type="gramEnd"/>
      <w:r>
        <w:t xml:space="preserve"> </w:t>
      </w:r>
      <w:r w:rsidR="006112DC">
        <w:t>[2, question 7]</w:t>
      </w:r>
      <w:r>
        <w:t xml:space="preserve">. The sliding </w:t>
      </w:r>
      <w:r w:rsidR="00DA3F2B">
        <w:t xml:space="preserve">measurement gap </w:t>
      </w:r>
      <w:r>
        <w:t>can be advanced after every measurement, eventually yielding measurements over the whole range of possible SMTC periods. This approach is rather equivalent to a1).</w:t>
      </w:r>
    </w:p>
    <w:p w14:paraId="1215CE37" w14:textId="3A96B6BA" w:rsidR="005E250A" w:rsidRDefault="005E250A" w:rsidP="005E250A">
      <w:r>
        <w:t>Comparing approach a1) and a2)</w:t>
      </w:r>
      <w:r w:rsidR="00DA3F2B">
        <w:t xml:space="preserve">, </w:t>
      </w:r>
      <w:r>
        <w:t>one may realize that a</w:t>
      </w:r>
      <w:r w:rsidR="00DA3F2B">
        <w:t>2</w:t>
      </w:r>
      <w:r>
        <w:t xml:space="preserve">) has a </w:t>
      </w:r>
      <w:r w:rsidR="00DA3F2B">
        <w:t xml:space="preserve">slightly </w:t>
      </w:r>
      <w:r>
        <w:t>shorter aggregate gap length when considering the time that it takes to complete a window sweep.</w:t>
      </w:r>
    </w:p>
    <w:p w14:paraId="6994DE15" w14:textId="368E44E7" w:rsidR="005E250A" w:rsidRDefault="005E250A" w:rsidP="005E250A">
      <w:r>
        <w:t>As an example</w:t>
      </w:r>
      <w:r w:rsidR="00ED60E5">
        <w:t>,</w:t>
      </w:r>
      <w:r>
        <w:t xml:space="preserve"> one may consider that the network employs a maximal periodicity of 40 </w:t>
      </w:r>
      <w:proofErr w:type="spellStart"/>
      <w:r>
        <w:t>msec</w:t>
      </w:r>
      <w:proofErr w:type="spellEnd"/>
      <w:r>
        <w:t xml:space="preserve"> for DRS signals. Further one may then employ in approach a2) and a sliding window of length 6 </w:t>
      </w:r>
      <w:proofErr w:type="spellStart"/>
      <w:r>
        <w:t>msec</w:t>
      </w:r>
      <w:proofErr w:type="spellEnd"/>
      <w:r>
        <w:t xml:space="preserve"> that advances by 5 </w:t>
      </w:r>
      <w:proofErr w:type="spellStart"/>
      <w:r>
        <w:t>msec</w:t>
      </w:r>
      <w:proofErr w:type="spellEnd"/>
      <w:r>
        <w:t xml:space="preserve"> every 40 msec. It will take 8*40 periods to cover the overall maximal periodicity. In those 320 </w:t>
      </w:r>
      <w:proofErr w:type="spellStart"/>
      <w:r>
        <w:t>msec</w:t>
      </w:r>
      <w:proofErr w:type="spellEnd"/>
      <w:r>
        <w:t xml:space="preserve"> a UE will have accumulated 8*6 </w:t>
      </w:r>
      <w:proofErr w:type="spellStart"/>
      <w:r>
        <w:t>msec</w:t>
      </w:r>
      <w:proofErr w:type="spellEnd"/>
      <w:r>
        <w:t xml:space="preserve"> worth of gaps. On the other hand, a single gap every 320 </w:t>
      </w:r>
      <w:proofErr w:type="spellStart"/>
      <w:r>
        <w:t>msec</w:t>
      </w:r>
      <w:proofErr w:type="spellEnd"/>
      <w:r>
        <w:t xml:space="preserve"> would need to be only </w:t>
      </w:r>
      <w:proofErr w:type="gramStart"/>
      <w:r>
        <w:t>as long as</w:t>
      </w:r>
      <w:proofErr w:type="gramEnd"/>
      <w:r>
        <w:t xml:space="preserve"> 41 msec.</w:t>
      </w:r>
    </w:p>
    <w:p w14:paraId="0F18BE1F" w14:textId="35874CBE" w:rsidR="005E250A" w:rsidRDefault="001444A4" w:rsidP="005E250A">
      <w:r w:rsidRPr="001444A4">
        <w:rPr>
          <w:noProof/>
        </w:rPr>
        <w:drawing>
          <wp:inline distT="0" distB="0" distL="0" distR="0" wp14:anchorId="4F61288F" wp14:editId="7B0960C9">
            <wp:extent cx="6122035" cy="122617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226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4273B8" w14:textId="77777777" w:rsidR="005E250A" w:rsidRDefault="005E250A" w:rsidP="005E250A"/>
    <w:p w14:paraId="0DBB7612" w14:textId="73374D82" w:rsidR="005E250A" w:rsidRPr="00B03732" w:rsidRDefault="005E250A" w:rsidP="005E250A">
      <w:r>
        <w:rPr>
          <w:b/>
        </w:rPr>
        <w:t>Observation</w:t>
      </w:r>
      <w:r w:rsidR="00813C1F">
        <w:rPr>
          <w:b/>
        </w:rPr>
        <w:t xml:space="preserve"> 2</w:t>
      </w:r>
      <w:r>
        <w:t xml:space="preserve">: </w:t>
      </w:r>
      <w:r w:rsidRPr="00CC6E7E">
        <w:t xml:space="preserve">In </w:t>
      </w:r>
      <w:r w:rsidR="00DA3F2B" w:rsidRPr="00CC6E7E">
        <w:t xml:space="preserve">standalone NR-U </w:t>
      </w:r>
      <w:r w:rsidRPr="00CC6E7E">
        <w:t>asynchronous deployments</w:t>
      </w:r>
      <w:r w:rsidR="00ED60E5" w:rsidRPr="00CC6E7E">
        <w:t xml:space="preserve">, </w:t>
      </w:r>
      <w:r w:rsidRPr="00CC6E7E">
        <w:t xml:space="preserve">the acquisition of neighbour </w:t>
      </w:r>
      <w:r w:rsidR="00813C1F" w:rsidRPr="00CC6E7E">
        <w:t xml:space="preserve">cells’ </w:t>
      </w:r>
      <w:r w:rsidRPr="00CC6E7E">
        <w:t xml:space="preserve">DRS faces the trade-off of </w:t>
      </w:r>
      <w:r w:rsidR="00813C1F" w:rsidRPr="00CC6E7E">
        <w:t xml:space="preserve">measurement gap overhead </w:t>
      </w:r>
      <w:r w:rsidRPr="00CC6E7E">
        <w:t xml:space="preserve">vs </w:t>
      </w:r>
      <w:r w:rsidR="00813C1F" w:rsidRPr="00CC6E7E">
        <w:t>reduced RRM performance due to long measurement gap periodicity or window sweep</w:t>
      </w:r>
      <w:r w:rsidRPr="00CC6E7E">
        <w:t>.</w:t>
      </w:r>
    </w:p>
    <w:p w14:paraId="0C02715A" w14:textId="0FE9EB66" w:rsidR="004E42D0" w:rsidRPr="00865BD7" w:rsidRDefault="001444A4" w:rsidP="005E77EF">
      <w:bookmarkStart w:id="3" w:name="_Hlk7626691"/>
      <w:r>
        <w:t xml:space="preserve">Consequently, either NR-U will </w:t>
      </w:r>
      <w:r w:rsidR="008D1AA9">
        <w:t xml:space="preserve">only </w:t>
      </w:r>
      <w:r>
        <w:t xml:space="preserve">limited support for </w:t>
      </w:r>
      <w:r w:rsidR="008D1AA9">
        <w:t xml:space="preserve">inter-frequency </w:t>
      </w:r>
      <w:r>
        <w:t>mobility in asynchronous networks in Rel</w:t>
      </w:r>
      <w:r w:rsidR="00063847">
        <w:t>-</w:t>
      </w:r>
      <w:r>
        <w:t>1</w:t>
      </w:r>
      <w:r w:rsidR="2313EEA6">
        <w:t>6</w:t>
      </w:r>
      <w:r>
        <w:t>, or enhancements to measurement gaps are introduced.</w:t>
      </w:r>
      <w:bookmarkEnd w:id="3"/>
      <w:r>
        <w:t xml:space="preserve"> </w:t>
      </w:r>
    </w:p>
    <w:p w14:paraId="0E7F4EF5" w14:textId="75EE3CAE" w:rsidR="00EF0F2A" w:rsidRDefault="00EF0F2A" w:rsidP="002B0FF2">
      <w:bookmarkStart w:id="4" w:name="_Hlk4588579"/>
      <w:bookmarkEnd w:id="2"/>
      <w:r w:rsidRPr="00F22483">
        <w:rPr>
          <w:b/>
          <w:bCs/>
        </w:rPr>
        <w:t>Proposal 2</w:t>
      </w:r>
      <w:r>
        <w:t xml:space="preserve">: Study </w:t>
      </w:r>
      <w:r w:rsidR="00C94352">
        <w:t xml:space="preserve">what </w:t>
      </w:r>
      <w:r>
        <w:t xml:space="preserve">changes </w:t>
      </w:r>
      <w:r w:rsidR="005E77EF">
        <w:t xml:space="preserve">of </w:t>
      </w:r>
      <w:r w:rsidR="002E0014">
        <w:t>the</w:t>
      </w:r>
      <w:r>
        <w:t xml:space="preserve"> measurement gap </w:t>
      </w:r>
      <w:r w:rsidR="002E0014">
        <w:t xml:space="preserve">configuration </w:t>
      </w:r>
      <w:r>
        <w:t xml:space="preserve">are needed to support </w:t>
      </w:r>
      <w:r w:rsidR="005E77EF">
        <w:t xml:space="preserve">reliable </w:t>
      </w:r>
      <w:r w:rsidR="00F33B25">
        <w:t>measurements</w:t>
      </w:r>
      <w:r w:rsidR="00F54BAF">
        <w:t xml:space="preserve"> </w:t>
      </w:r>
      <w:r w:rsidR="005E77EF">
        <w:t xml:space="preserve">of </w:t>
      </w:r>
      <w:r w:rsidR="00813C1F">
        <w:t xml:space="preserve">asynchronous </w:t>
      </w:r>
      <w:r w:rsidR="005E77EF">
        <w:t xml:space="preserve">neighbour </w:t>
      </w:r>
      <w:r w:rsidR="002E0014">
        <w:t>NR-U cells</w:t>
      </w:r>
      <w:r>
        <w:t>.</w:t>
      </w:r>
      <w:bookmarkEnd w:id="4"/>
    </w:p>
    <w:p w14:paraId="5179F769" w14:textId="1506E618" w:rsidR="00F22A95" w:rsidRDefault="002939A7" w:rsidP="002B0FF2">
      <w:bookmarkStart w:id="5" w:name="_Hlk7620075"/>
      <w:r>
        <w:t xml:space="preserve">If the length of </w:t>
      </w:r>
      <w:r w:rsidR="00813C1F">
        <w:t xml:space="preserve">the </w:t>
      </w:r>
      <w:r>
        <w:t>measurement gaps were to be increased as well as their number</w:t>
      </w:r>
      <w:r w:rsidR="00F470C2">
        <w:t>, this would</w:t>
      </w:r>
      <w:r w:rsidR="00EE6F4A">
        <w:t xml:space="preserve"> negatively</w:t>
      </w:r>
      <w:r w:rsidR="00F470C2">
        <w:t xml:space="preserve"> impact DRX and power consumption. Indeed, the DRX timers would have to be long enough to avoid expiring </w:t>
      </w:r>
      <w:r w:rsidR="00EF19C2">
        <w:t xml:space="preserve">when a measurement gap occurs. The longer the gap and the more often they occur the more serious the problem become. To avoid </w:t>
      </w:r>
      <w:r w:rsidR="00D75B27">
        <w:t>increasing</w:t>
      </w:r>
      <w:r w:rsidR="00EF19C2">
        <w:t xml:space="preserve"> power consumption</w:t>
      </w:r>
      <w:r w:rsidR="005D77F1">
        <w:t xml:space="preserve">, the subframes occurring </w:t>
      </w:r>
      <w:r w:rsidR="00F22A95">
        <w:t>during a measurement gap should be excluded from the counters.</w:t>
      </w:r>
    </w:p>
    <w:p w14:paraId="53B99874" w14:textId="4AC78A25" w:rsidR="00884ED3" w:rsidRDefault="00F22A95" w:rsidP="002B0FF2">
      <w:r w:rsidRPr="00D97937">
        <w:rPr>
          <w:b/>
        </w:rPr>
        <w:t>Proposal 3:</w:t>
      </w:r>
      <w:r>
        <w:t xml:space="preserve"> </w:t>
      </w:r>
      <w:r w:rsidR="00386B9D">
        <w:t>E</w:t>
      </w:r>
      <w:r>
        <w:t xml:space="preserve">xclude </w:t>
      </w:r>
      <w:r w:rsidR="00385248">
        <w:t xml:space="preserve">the PDCCH subframes colliding with a measurement </w:t>
      </w:r>
      <w:r w:rsidR="00EE6F4A">
        <w:t>gap from the DRX timers.</w:t>
      </w:r>
    </w:p>
    <w:bookmarkEnd w:id="0"/>
    <w:bookmarkEnd w:id="5"/>
    <w:p w14:paraId="3DD36CCC" w14:textId="6C1D5823" w:rsidR="00185703" w:rsidRPr="006E13D1" w:rsidRDefault="00185703" w:rsidP="00185703">
      <w:pPr>
        <w:pStyle w:val="Heading1"/>
      </w:pPr>
      <w:r w:rsidRPr="006E13D1">
        <w:t>2</w:t>
      </w:r>
      <w:r w:rsidRPr="006E13D1">
        <w:tab/>
      </w:r>
      <w:r w:rsidR="008153DB">
        <w:t>Conclusion</w:t>
      </w:r>
    </w:p>
    <w:p w14:paraId="26EF76D8" w14:textId="6A395092" w:rsidR="008153DB" w:rsidRDefault="000D3F4C" w:rsidP="008153DB">
      <w:r>
        <w:t xml:space="preserve">In this paper we </w:t>
      </w:r>
      <w:r w:rsidR="00F22483">
        <w:t>have the</w:t>
      </w:r>
      <w:r>
        <w:t xml:space="preserve"> following p</w:t>
      </w:r>
      <w:r w:rsidR="00185703">
        <w:t xml:space="preserve">roposals: </w:t>
      </w:r>
    </w:p>
    <w:p w14:paraId="0B31E975" w14:textId="77777777" w:rsidR="00CC6E7E" w:rsidRDefault="00CC6E7E" w:rsidP="00CC6E7E">
      <w:r w:rsidRPr="00F22483">
        <w:rPr>
          <w:b/>
          <w:bCs/>
        </w:rPr>
        <w:t>Proposal 1:</w:t>
      </w:r>
      <w:r>
        <w:t xml:space="preserve"> Address conditional handover (CHO) in NR-U towards the end of the WI, to allow to reuse the decisions and agreements concerning CHO made in NR mobility enhancements work item.</w:t>
      </w:r>
    </w:p>
    <w:p w14:paraId="3601298A" w14:textId="77777777" w:rsidR="00CC6E7E" w:rsidRPr="00ED60E5" w:rsidRDefault="00CC6E7E" w:rsidP="00CC6E7E">
      <w:r w:rsidRPr="00ED60E5">
        <w:rPr>
          <w:b/>
        </w:rPr>
        <w:t>Observation 1</w:t>
      </w:r>
      <w:r>
        <w:rPr>
          <w:b/>
        </w:rPr>
        <w:t xml:space="preserve">: </w:t>
      </w:r>
      <w:r w:rsidRPr="00ED60E5">
        <w:t>In</w:t>
      </w:r>
      <w:r w:rsidRPr="00DA3F2B">
        <w:t xml:space="preserve"> NR-U,</w:t>
      </w:r>
      <w:r>
        <w:t xml:space="preserve"> </w:t>
      </w:r>
      <w:r w:rsidRPr="00DA3F2B">
        <w:t>due to</w:t>
      </w:r>
      <w:r>
        <w:rPr>
          <w:b/>
        </w:rPr>
        <w:t xml:space="preserve"> </w:t>
      </w:r>
      <w:r>
        <w:t>the restrictions imposed by LBT to the frequency of transmission of DRS, it is not possible to support inter-frequency neighbour cell RRM measurements with Rel-15 measurement gap configurations and by transmitting the SSBs at a periodicity of 5ms.</w:t>
      </w:r>
    </w:p>
    <w:p w14:paraId="136D11EB" w14:textId="77777777" w:rsidR="00CC6E7E" w:rsidRPr="00B03732" w:rsidRDefault="00CC6E7E" w:rsidP="00CC6E7E">
      <w:r>
        <w:rPr>
          <w:b/>
        </w:rPr>
        <w:t>Observation 2</w:t>
      </w:r>
      <w:r>
        <w:t xml:space="preserve">: </w:t>
      </w:r>
      <w:r w:rsidRPr="00CC6E7E">
        <w:t>In standalone NR-U asynchronous deployments, the acquisition of neighbour cells’ DRS faces the trade-off of measurement gap overhead vs reduced RRM performance due to long measurement gap periodicity or window sweep.</w:t>
      </w:r>
    </w:p>
    <w:p w14:paraId="0D9D7037" w14:textId="77777777" w:rsidR="00CC6E7E" w:rsidRDefault="00CC6E7E" w:rsidP="00CC6E7E">
      <w:r w:rsidRPr="00F22483">
        <w:rPr>
          <w:b/>
          <w:bCs/>
        </w:rPr>
        <w:t>Proposal 2</w:t>
      </w:r>
      <w:r>
        <w:t xml:space="preserve">: Study what changes </w:t>
      </w:r>
      <w:bookmarkStart w:id="6" w:name="_GoBack"/>
      <w:bookmarkEnd w:id="6"/>
      <w:r>
        <w:t>of the measurement gap configuration are needed to support reliable measurements of asynchronous neighbour NR-U cells.</w:t>
      </w:r>
    </w:p>
    <w:p w14:paraId="094E5CDF" w14:textId="77777777" w:rsidR="00CC6E7E" w:rsidRDefault="00CC6E7E" w:rsidP="00CC6E7E">
      <w:r w:rsidRPr="00D97937">
        <w:rPr>
          <w:b/>
        </w:rPr>
        <w:t>Proposal 3:</w:t>
      </w:r>
      <w:r>
        <w:t xml:space="preserve"> Exclude the PDCCH subframes colliding with a measurement gap from the DRX timers.</w:t>
      </w:r>
    </w:p>
    <w:p w14:paraId="4620A121" w14:textId="3719D9A9" w:rsidR="00FE7820" w:rsidRDefault="00EA791C" w:rsidP="00185703">
      <w:pPr>
        <w:pStyle w:val="Heading1"/>
      </w:pPr>
      <w:r>
        <w:t>3</w:t>
      </w:r>
      <w:r w:rsidR="00FE7820" w:rsidRPr="006E13D1">
        <w:tab/>
      </w:r>
      <w:r w:rsidR="00FE7820">
        <w:t>References</w:t>
      </w:r>
    </w:p>
    <w:p w14:paraId="7979D45A" w14:textId="7DDC1DB0" w:rsidR="006112DC" w:rsidRDefault="00EA354E" w:rsidP="00EA354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97E5D">
        <w:t>RP-182878</w:t>
      </w:r>
      <w:r>
        <w:rPr>
          <w:i/>
        </w:rPr>
        <w:t xml:space="preserve">, </w:t>
      </w:r>
      <w:r w:rsidRPr="005936A1">
        <w:rPr>
          <w:i/>
        </w:rPr>
        <w:t>New WID on NR-based Access to Unlicensed Spectrum</w:t>
      </w:r>
      <w:r w:rsidRPr="004809DC">
        <w:t xml:space="preserve">, </w:t>
      </w:r>
      <w:r>
        <w:t>Q</w:t>
      </w:r>
      <w:r w:rsidRPr="00A97E5D">
        <w:t>ualcomm Inc.</w:t>
      </w:r>
    </w:p>
    <w:p w14:paraId="11BFB349" w14:textId="11C3851B" w:rsidR="00EA354E" w:rsidRPr="00F51FC0" w:rsidRDefault="006112DC" w:rsidP="00813C1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R2-1903655, </w:t>
      </w:r>
      <w:r w:rsidRPr="00813C1F">
        <w:rPr>
          <w:i/>
        </w:rPr>
        <w:t>Report of Email Discussion [105#</w:t>
      </w:r>
      <w:proofErr w:type="gramStart"/>
      <w:r w:rsidRPr="00813C1F">
        <w:rPr>
          <w:i/>
        </w:rPr>
        <w:t>48][</w:t>
      </w:r>
      <w:proofErr w:type="gramEnd"/>
      <w:r w:rsidRPr="00813C1F">
        <w:rPr>
          <w:i/>
        </w:rPr>
        <w:t>NR-U] Connected mode measurements</w:t>
      </w:r>
      <w:r>
        <w:t>, Qualcomm Inc.</w:t>
      </w:r>
    </w:p>
    <w:sectPr w:rsidR="00EA354E" w:rsidRPr="00F51FC0" w:rsidSect="006112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4A4" w:rsidRDefault="001444A4" w14:paraId="75523BB6" w14:textId="77777777">
      <w:r>
        <w:separator/>
      </w:r>
    </w:p>
  </w:endnote>
  <w:endnote w:type="continuationSeparator" w:id="0">
    <w:p w:rsidR="001444A4" w:rsidRDefault="001444A4" w14:paraId="4B747A27" w14:textId="77777777">
      <w:r>
        <w:continuationSeparator/>
      </w:r>
    </w:p>
  </w:endnote>
  <w:endnote w:type="continuationNotice" w:id="1">
    <w:p w:rsidR="001444A4" w:rsidRDefault="001444A4" w14:paraId="7B957DB4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1444A4" w:rsidRDefault="001444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1444A4" w:rsidRDefault="001444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1444A4" w:rsidRDefault="001444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4A4" w:rsidRDefault="001444A4" w14:paraId="726B44EA" w14:textId="77777777">
      <w:r>
        <w:separator/>
      </w:r>
    </w:p>
  </w:footnote>
  <w:footnote w:type="continuationSeparator" w:id="0">
    <w:p w:rsidR="001444A4" w:rsidRDefault="001444A4" w14:paraId="622FB258" w14:textId="77777777">
      <w:r>
        <w:continuationSeparator/>
      </w:r>
    </w:p>
  </w:footnote>
  <w:footnote w:type="continuationNotice" w:id="1">
    <w:p w:rsidR="001444A4" w:rsidRDefault="001444A4" w14:paraId="6FC21C1D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1444A4" w:rsidRDefault="00144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1444A4" w:rsidRDefault="00144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1444A4" w:rsidRDefault="00144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EC6A6D"/>
    <w:multiLevelType w:val="hybridMultilevel"/>
    <w:tmpl w:val="25BC29F8"/>
    <w:lvl w:ilvl="0" w:tplc="040B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7A3EEA"/>
    <w:multiLevelType w:val="hybridMultilevel"/>
    <w:tmpl w:val="900ED812"/>
    <w:lvl w:ilvl="0" w:tplc="65701A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E321FB4"/>
    <w:multiLevelType w:val="hybridMultilevel"/>
    <w:tmpl w:val="D236F0F2"/>
    <w:lvl w:ilvl="0" w:tplc="040B0001">
      <w:start w:val="1"/>
      <w:numFmt w:val="bullet"/>
      <w:lvlText w:val=""/>
      <w:lvlJc w:val="left"/>
      <w:pPr>
        <w:ind w:left="1288" w:hanging="360"/>
      </w:pPr>
      <w:rPr>
        <w:rFonts w:hint="default" w:ascii="Symbol" w:hAnsi="Symbol"/>
      </w:rPr>
    </w:lvl>
    <w:lvl w:ilvl="1" w:tplc="040B0003" w:tentative="1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6" w15:restartNumberingAfterBreak="0">
    <w:nsid w:val="52D62D65"/>
    <w:multiLevelType w:val="hybridMultilevel"/>
    <w:tmpl w:val="643021C0"/>
    <w:lvl w:ilvl="0" w:tplc="4A0075FA">
      <w:start w:val="2"/>
      <w:numFmt w:val="bullet"/>
      <w:lvlText w:val=""/>
      <w:lvlJc w:val="left"/>
      <w:pPr>
        <w:ind w:left="644" w:hanging="360"/>
      </w:pPr>
      <w:rPr>
        <w:rFonts w:hint="default" w:ascii="Symbol" w:hAnsi="Symbol" w:eastAsia="Times New Roman" w:cs="Times New Roman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1AE"/>
    <w:rsid w:val="00033397"/>
    <w:rsid w:val="00040095"/>
    <w:rsid w:val="00052444"/>
    <w:rsid w:val="00063847"/>
    <w:rsid w:val="00080512"/>
    <w:rsid w:val="00090468"/>
    <w:rsid w:val="00097919"/>
    <w:rsid w:val="000B7BCF"/>
    <w:rsid w:val="000C522B"/>
    <w:rsid w:val="000D3F4C"/>
    <w:rsid w:val="000D58AB"/>
    <w:rsid w:val="000D7520"/>
    <w:rsid w:val="001017BB"/>
    <w:rsid w:val="00103B28"/>
    <w:rsid w:val="00105A5C"/>
    <w:rsid w:val="00112F1A"/>
    <w:rsid w:val="00134D8D"/>
    <w:rsid w:val="00140F7E"/>
    <w:rsid w:val="001444A4"/>
    <w:rsid w:val="00145075"/>
    <w:rsid w:val="0015200A"/>
    <w:rsid w:val="001741A0"/>
    <w:rsid w:val="00175FA0"/>
    <w:rsid w:val="00176289"/>
    <w:rsid w:val="00185703"/>
    <w:rsid w:val="00194CD0"/>
    <w:rsid w:val="001B49C9"/>
    <w:rsid w:val="001C444B"/>
    <w:rsid w:val="001C4F79"/>
    <w:rsid w:val="001D4EE9"/>
    <w:rsid w:val="001E236F"/>
    <w:rsid w:val="001F168B"/>
    <w:rsid w:val="001F7831"/>
    <w:rsid w:val="00204045"/>
    <w:rsid w:val="00206F03"/>
    <w:rsid w:val="0020712B"/>
    <w:rsid w:val="00221C94"/>
    <w:rsid w:val="0022606D"/>
    <w:rsid w:val="00231728"/>
    <w:rsid w:val="00244513"/>
    <w:rsid w:val="0025259C"/>
    <w:rsid w:val="002610D8"/>
    <w:rsid w:val="002747EC"/>
    <w:rsid w:val="002855BF"/>
    <w:rsid w:val="00290929"/>
    <w:rsid w:val="002926E3"/>
    <w:rsid w:val="002939A7"/>
    <w:rsid w:val="00297AEA"/>
    <w:rsid w:val="002B0FF2"/>
    <w:rsid w:val="002D1A70"/>
    <w:rsid w:val="002E0005"/>
    <w:rsid w:val="002E0014"/>
    <w:rsid w:val="002F0D22"/>
    <w:rsid w:val="00301287"/>
    <w:rsid w:val="003172DC"/>
    <w:rsid w:val="00322D30"/>
    <w:rsid w:val="00325AE3"/>
    <w:rsid w:val="00326069"/>
    <w:rsid w:val="003379D0"/>
    <w:rsid w:val="00352C2B"/>
    <w:rsid w:val="0035462D"/>
    <w:rsid w:val="00364B41"/>
    <w:rsid w:val="00385248"/>
    <w:rsid w:val="00386B9D"/>
    <w:rsid w:val="003A41EF"/>
    <w:rsid w:val="003B40AD"/>
    <w:rsid w:val="003C4E37"/>
    <w:rsid w:val="003C6549"/>
    <w:rsid w:val="003E16BE"/>
    <w:rsid w:val="003F27AB"/>
    <w:rsid w:val="003F4E28"/>
    <w:rsid w:val="004006E8"/>
    <w:rsid w:val="00401855"/>
    <w:rsid w:val="0041194A"/>
    <w:rsid w:val="00443B6F"/>
    <w:rsid w:val="0045319D"/>
    <w:rsid w:val="00465587"/>
    <w:rsid w:val="00477455"/>
    <w:rsid w:val="00481159"/>
    <w:rsid w:val="004A1F7B"/>
    <w:rsid w:val="004C44D2"/>
    <w:rsid w:val="004D3578"/>
    <w:rsid w:val="004D380D"/>
    <w:rsid w:val="004E213A"/>
    <w:rsid w:val="004E42D0"/>
    <w:rsid w:val="00503171"/>
    <w:rsid w:val="00506C28"/>
    <w:rsid w:val="00516D01"/>
    <w:rsid w:val="00522979"/>
    <w:rsid w:val="00534DA0"/>
    <w:rsid w:val="00543E6C"/>
    <w:rsid w:val="00544A76"/>
    <w:rsid w:val="00565087"/>
    <w:rsid w:val="0056573F"/>
    <w:rsid w:val="005B2165"/>
    <w:rsid w:val="005D77F1"/>
    <w:rsid w:val="005E250A"/>
    <w:rsid w:val="005E77EF"/>
    <w:rsid w:val="006112DC"/>
    <w:rsid w:val="00611566"/>
    <w:rsid w:val="006146C0"/>
    <w:rsid w:val="00646D99"/>
    <w:rsid w:val="006568BA"/>
    <w:rsid w:val="00656910"/>
    <w:rsid w:val="00671A18"/>
    <w:rsid w:val="00673564"/>
    <w:rsid w:val="006A027C"/>
    <w:rsid w:val="006C66D8"/>
    <w:rsid w:val="006D1E24"/>
    <w:rsid w:val="006E1417"/>
    <w:rsid w:val="006E3D2F"/>
    <w:rsid w:val="006F6A2C"/>
    <w:rsid w:val="00710201"/>
    <w:rsid w:val="007342B5"/>
    <w:rsid w:val="00734A5B"/>
    <w:rsid w:val="00744E76"/>
    <w:rsid w:val="007465DA"/>
    <w:rsid w:val="00746C88"/>
    <w:rsid w:val="00757D40"/>
    <w:rsid w:val="00763701"/>
    <w:rsid w:val="00776715"/>
    <w:rsid w:val="00781F0F"/>
    <w:rsid w:val="0078518A"/>
    <w:rsid w:val="0078727C"/>
    <w:rsid w:val="0079049D"/>
    <w:rsid w:val="00793DC5"/>
    <w:rsid w:val="007B18D8"/>
    <w:rsid w:val="007C095F"/>
    <w:rsid w:val="007C2DD0"/>
    <w:rsid w:val="008028A4"/>
    <w:rsid w:val="00813245"/>
    <w:rsid w:val="00813C1F"/>
    <w:rsid w:val="00815133"/>
    <w:rsid w:val="008153DB"/>
    <w:rsid w:val="00816419"/>
    <w:rsid w:val="00846C70"/>
    <w:rsid w:val="00865BD7"/>
    <w:rsid w:val="008768CA"/>
    <w:rsid w:val="00877EF9"/>
    <w:rsid w:val="00880559"/>
    <w:rsid w:val="00884ED3"/>
    <w:rsid w:val="00890931"/>
    <w:rsid w:val="008A1003"/>
    <w:rsid w:val="008A4AFE"/>
    <w:rsid w:val="008B5306"/>
    <w:rsid w:val="008D1AA9"/>
    <w:rsid w:val="008D2E4D"/>
    <w:rsid w:val="008F396F"/>
    <w:rsid w:val="00900E7D"/>
    <w:rsid w:val="0090271F"/>
    <w:rsid w:val="00902DB9"/>
    <w:rsid w:val="0090466A"/>
    <w:rsid w:val="009149C8"/>
    <w:rsid w:val="00925AB8"/>
    <w:rsid w:val="00931C68"/>
    <w:rsid w:val="00936071"/>
    <w:rsid w:val="00940212"/>
    <w:rsid w:val="00942EC2"/>
    <w:rsid w:val="009461EF"/>
    <w:rsid w:val="00961B32"/>
    <w:rsid w:val="00962509"/>
    <w:rsid w:val="00970DB3"/>
    <w:rsid w:val="00974BB0"/>
    <w:rsid w:val="009A0AF3"/>
    <w:rsid w:val="009B07CD"/>
    <w:rsid w:val="009C19E9"/>
    <w:rsid w:val="009D6413"/>
    <w:rsid w:val="009D74A6"/>
    <w:rsid w:val="009D759E"/>
    <w:rsid w:val="00A07677"/>
    <w:rsid w:val="00A10F02"/>
    <w:rsid w:val="00A204CA"/>
    <w:rsid w:val="00A305A6"/>
    <w:rsid w:val="00A53724"/>
    <w:rsid w:val="00A82346"/>
    <w:rsid w:val="00A9671C"/>
    <w:rsid w:val="00AA1553"/>
    <w:rsid w:val="00B021B6"/>
    <w:rsid w:val="00B03732"/>
    <w:rsid w:val="00B0493F"/>
    <w:rsid w:val="00B05380"/>
    <w:rsid w:val="00B05962"/>
    <w:rsid w:val="00B15449"/>
    <w:rsid w:val="00B21074"/>
    <w:rsid w:val="00B27303"/>
    <w:rsid w:val="00B456B0"/>
    <w:rsid w:val="00B46D02"/>
    <w:rsid w:val="00B47FD1"/>
    <w:rsid w:val="00B516BB"/>
    <w:rsid w:val="00B84DB2"/>
    <w:rsid w:val="00BC3555"/>
    <w:rsid w:val="00BF780A"/>
    <w:rsid w:val="00C12B51"/>
    <w:rsid w:val="00C24650"/>
    <w:rsid w:val="00C25465"/>
    <w:rsid w:val="00C33079"/>
    <w:rsid w:val="00C5426F"/>
    <w:rsid w:val="00C729EA"/>
    <w:rsid w:val="00C83A13"/>
    <w:rsid w:val="00C9068C"/>
    <w:rsid w:val="00C92967"/>
    <w:rsid w:val="00C94352"/>
    <w:rsid w:val="00CA2C33"/>
    <w:rsid w:val="00CA3D0C"/>
    <w:rsid w:val="00CA654B"/>
    <w:rsid w:val="00CB72B8"/>
    <w:rsid w:val="00CC403C"/>
    <w:rsid w:val="00CC6E7E"/>
    <w:rsid w:val="00CD4C7B"/>
    <w:rsid w:val="00CD62A4"/>
    <w:rsid w:val="00D03ABA"/>
    <w:rsid w:val="00D136FC"/>
    <w:rsid w:val="00D33BE3"/>
    <w:rsid w:val="00D3792D"/>
    <w:rsid w:val="00D475E1"/>
    <w:rsid w:val="00D54BDE"/>
    <w:rsid w:val="00D55E47"/>
    <w:rsid w:val="00D62E19"/>
    <w:rsid w:val="00D67CD1"/>
    <w:rsid w:val="00D738D6"/>
    <w:rsid w:val="00D74A3C"/>
    <w:rsid w:val="00D75B27"/>
    <w:rsid w:val="00D80795"/>
    <w:rsid w:val="00D820F6"/>
    <w:rsid w:val="00D8293A"/>
    <w:rsid w:val="00D854BE"/>
    <w:rsid w:val="00D87E00"/>
    <w:rsid w:val="00D9134D"/>
    <w:rsid w:val="00D96D11"/>
    <w:rsid w:val="00D97937"/>
    <w:rsid w:val="00DA3F2B"/>
    <w:rsid w:val="00DA7A03"/>
    <w:rsid w:val="00DB0DB8"/>
    <w:rsid w:val="00DB1369"/>
    <w:rsid w:val="00DB1818"/>
    <w:rsid w:val="00DC309B"/>
    <w:rsid w:val="00DC4DA2"/>
    <w:rsid w:val="00DC5D40"/>
    <w:rsid w:val="00E05E32"/>
    <w:rsid w:val="00E46C08"/>
    <w:rsid w:val="00E471CF"/>
    <w:rsid w:val="00E62835"/>
    <w:rsid w:val="00E77645"/>
    <w:rsid w:val="00E83697"/>
    <w:rsid w:val="00E86C3C"/>
    <w:rsid w:val="00E9607F"/>
    <w:rsid w:val="00E973E9"/>
    <w:rsid w:val="00EA354E"/>
    <w:rsid w:val="00EA791C"/>
    <w:rsid w:val="00EC4A25"/>
    <w:rsid w:val="00ED5F86"/>
    <w:rsid w:val="00ED60E5"/>
    <w:rsid w:val="00EE3109"/>
    <w:rsid w:val="00EE6F4A"/>
    <w:rsid w:val="00EF0F2A"/>
    <w:rsid w:val="00EF19C2"/>
    <w:rsid w:val="00F025A2"/>
    <w:rsid w:val="00F07388"/>
    <w:rsid w:val="00F2026E"/>
    <w:rsid w:val="00F2210A"/>
    <w:rsid w:val="00F22483"/>
    <w:rsid w:val="00F22A95"/>
    <w:rsid w:val="00F23307"/>
    <w:rsid w:val="00F26967"/>
    <w:rsid w:val="00F31235"/>
    <w:rsid w:val="00F33B25"/>
    <w:rsid w:val="00F37743"/>
    <w:rsid w:val="00F470C2"/>
    <w:rsid w:val="00F51FC0"/>
    <w:rsid w:val="00F54A3D"/>
    <w:rsid w:val="00F54BAF"/>
    <w:rsid w:val="00F54CB0"/>
    <w:rsid w:val="00F653B8"/>
    <w:rsid w:val="00F71B89"/>
    <w:rsid w:val="00F7353C"/>
    <w:rsid w:val="00F76F8F"/>
    <w:rsid w:val="00F90D1E"/>
    <w:rsid w:val="00F941DF"/>
    <w:rsid w:val="00FA1266"/>
    <w:rsid w:val="00FB36FA"/>
    <w:rsid w:val="00FB5EBA"/>
    <w:rsid w:val="00FB666F"/>
    <w:rsid w:val="00FC1192"/>
    <w:rsid w:val="00FC4577"/>
    <w:rsid w:val="00FC4582"/>
    <w:rsid w:val="00FE251B"/>
    <w:rsid w:val="00FE7820"/>
    <w:rsid w:val="00FF4096"/>
    <w:rsid w:val="2313EEA6"/>
    <w:rsid w:val="6C90FAB6"/>
    <w:rsid w:val="75A3B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</w:latentStyles>
  <w:style w:type="paragraph" w:styleId="Normal" w:default="1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EditorsNote" w:customStyle="1">
    <w:name w:val="Editor's Note"/>
    <w:basedOn w:val="NO"/>
    <w:rPr>
      <w:color w:val="FF0000"/>
    </w:rPr>
  </w:style>
  <w:style w:type="paragraph" w:styleId="TH" w:customStyle="1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TAN" w:customStyle="1">
    <w:name w:val="TAN"/>
    <w:basedOn w:val="TAL"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B2" w:customStyle="1">
    <w:name w:val="B2"/>
    <w:basedOn w:val="Normal"/>
    <w:pPr>
      <w:ind w:left="851" w:hanging="284"/>
    </w:pPr>
  </w:style>
  <w:style w:type="paragraph" w:styleId="B3" w:customStyle="1">
    <w:name w:val="B3"/>
    <w:basedOn w:val="Normal"/>
    <w:pPr>
      <w:ind w:left="1135" w:hanging="284"/>
    </w:pPr>
  </w:style>
  <w:style w:type="paragraph" w:styleId="B4" w:customStyle="1">
    <w:name w:val="B4"/>
    <w:basedOn w:val="Normal"/>
    <w:pPr>
      <w:ind w:left="1418" w:hanging="284"/>
    </w:pPr>
  </w:style>
  <w:style w:type="paragraph" w:styleId="B5" w:customStyle="1">
    <w:name w:val="B5"/>
    <w:basedOn w:val="Normal"/>
    <w:pPr>
      <w:ind w:left="1702" w:hanging="284"/>
    </w:p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rPr>
      <w:i/>
      <w:color w:val="0000FF"/>
    </w:rPr>
  </w:style>
  <w:style w:type="character" w:styleId="HeaderChar" w:customStyle="1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styleId="CRCoverPage" w:customStyle="1">
    <w:name w:val="CR Cover Page"/>
    <w:rsid w:val="00CD4C7B"/>
    <w:pPr>
      <w:spacing w:after="120"/>
    </w:pPr>
    <w:rPr>
      <w:rFonts w:ascii="Arial" w:hAnsi="Arial" w:eastAsia="MS Mincho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styleId="DocumentMapChar" w:customStyle="1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FE7820"/>
    <w:pPr>
      <w:ind w:left="720"/>
      <w:contextualSpacing/>
    </w:pPr>
  </w:style>
  <w:style w:type="character" w:styleId="CommentReference">
    <w:name w:val="annotation reference"/>
    <w:basedOn w:val="DefaultParagraphFont"/>
    <w:rsid w:val="00206F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6F03"/>
  </w:style>
  <w:style w:type="character" w:styleId="CommentTextChar" w:customStyle="1">
    <w:name w:val="Comment Text Char"/>
    <w:basedOn w:val="DefaultParagraphFont"/>
    <w:link w:val="CommentText"/>
    <w:rsid w:val="00206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6F03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206F03"/>
    <w:rPr>
      <w:b/>
      <w:bCs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06F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i-FI" w:eastAsia="fi-FI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sid w:val="00206F03"/>
    <w:rPr>
      <w:rFonts w:ascii="Courier New" w:hAnsi="Courier New" w:cs="Courier New"/>
      <w:lang w:val="fi-FI" w:eastAsia="fi-FI"/>
    </w:rPr>
  </w:style>
  <w:style w:type="character" w:styleId="orange" w:customStyle="1">
    <w:name w:val="orange"/>
    <w:basedOn w:val="DefaultParagraphFont"/>
    <w:rsid w:val="00206F03"/>
  </w:style>
  <w:style w:type="character" w:styleId="teal" w:customStyle="1">
    <w:name w:val="teal"/>
    <w:basedOn w:val="DefaultParagraphFont"/>
    <w:rsid w:val="00206F03"/>
  </w:style>
  <w:style w:type="character" w:styleId="green" w:customStyle="1">
    <w:name w:val="green"/>
    <w:basedOn w:val="DefaultParagraphFont"/>
    <w:rsid w:val="00206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5AIRPNAIUNRU-859666464-5065</_dlc_DocId>
    <_dlc_DocIdUrl xmlns="71c5aaf6-e6ce-465b-b873-5148d2a4c105">
      <Url>https://nokia.sharepoint.com/sites/c5g/e2earch/_layouts/15/DocIdRedir.aspx?ID=5AIRPNAIUNRU-859666464-5065</Url>
      <Description>5AIRPNAIUNRU-859666464-5065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a3840f4f-04be-43d1-b2ef-6ff1382503c7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83f22d2f-d16e-4be6-ad4f-29fa0b067c3c"/>
    <ds:schemaRef ds:uri="http://purl.org/dc/elements/1.1/"/>
    <ds:schemaRef ds:uri="http://schemas.microsoft.com/office/infopath/2007/PartnerControls"/>
    <ds:schemaRef ds:uri="3b34c8f0-1ef5-4d1e-bb66-517ce7fe7356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81</TotalTime>
  <Pages>3</Pages>
  <Words>992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Hoehne, Thomas (Nokia - FI/Espoo)</dc:creator>
  <cp:lastModifiedBy>Nokia-GWO4</cp:lastModifiedBy>
  <cp:revision>38</cp:revision>
  <dcterms:created xsi:type="dcterms:W3CDTF">2019-03-22T11:09:00Z</dcterms:created>
  <dcterms:modified xsi:type="dcterms:W3CDTF">2019-05-02T14:02:00Z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0ceb009e-92d7-4ed3-98bc-3b14e818d351</vt:lpwstr>
  </property>
  <property fmtid="{D5CDD505-2E9C-101B-9397-08002B2CF9AE}" pid="4" name="AuthorIds_UIVersion_6144">
    <vt:lpwstr>165</vt:lpwstr>
  </property>
  <property fmtid="{D5CDD505-2E9C-101B-9397-08002B2CF9AE}" pid="5" name="AuthorIds_UIVersion_3584">
    <vt:lpwstr>68</vt:lpwstr>
  </property>
</Properties>
</file>